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>
      <w:pPr>
        <w:pStyle w:val="ad"/>
      </w:pPr>
      <w:r>
        <w:t>Оглавление</w:t>
      </w:r>
    </w:p>
    <w:p w:rsidR="006643BE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169972" w:history="1">
        <w:bookmarkStart w:id="0" w:name="_Toc7513441"/>
        <w:r w:rsidR="006643BE" w:rsidRPr="00E06F9A">
          <w:rPr>
            <w:rStyle w:val="ae"/>
          </w:rPr>
          <w:t>Аннотация ГИА</w:t>
        </w:r>
        <w:r w:rsidR="006643BE">
          <w:rPr>
            <w:webHidden/>
          </w:rPr>
          <w:tab/>
        </w:r>
        <w:r w:rsidR="006643BE"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_Toc7169972 \h </w:instrText>
        </w:r>
        <w:r w:rsidR="006643BE">
          <w:rPr>
            <w:webHidden/>
          </w:rPr>
        </w:r>
        <w:r w:rsidR="006643BE">
          <w:rPr>
            <w:webHidden/>
          </w:rPr>
          <w:fldChar w:fldCharType="separate"/>
        </w:r>
        <w:r w:rsidR="006643BE">
          <w:rPr>
            <w:webHidden/>
          </w:rPr>
          <w:t>2</w:t>
        </w:r>
        <w:bookmarkEnd w:id="0"/>
        <w:r w:rsidR="006643BE">
          <w:rPr>
            <w:webHidden/>
          </w:rPr>
          <w:fldChar w:fldCharType="end"/>
        </w:r>
      </w:hyperlink>
    </w:p>
    <w:p w:rsidR="009F694D" w:rsidRDefault="009F694D" w:rsidP="009F694D">
      <w:pPr>
        <w:pStyle w:val="ad"/>
      </w:pPr>
    </w:p>
    <w:p w:rsidR="006643BE" w:rsidRPr="009F694D" w:rsidRDefault="006643BE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  <w:lang w:val="en-US"/>
        </w:rPr>
      </w:pPr>
    </w:p>
    <w:p w:rsidR="00CF4B96" w:rsidRPr="009F56CB" w:rsidRDefault="00EC730D">
      <w:r w:rsidRPr="009F56CB">
        <w:fldChar w:fldCharType="end"/>
      </w:r>
    </w:p>
    <w:p w:rsidR="00557291" w:rsidRPr="006643BE" w:rsidRDefault="00CF4B96" w:rsidP="006643BE">
      <w:pPr>
        <w:pStyle w:val="2"/>
      </w:pPr>
      <w:r>
        <w:rPr>
          <w:bCs/>
          <w:szCs w:val="24"/>
        </w:rPr>
        <w:br w:type="page"/>
      </w:r>
      <w:bookmarkStart w:id="1" w:name="_Toc7169972"/>
      <w:bookmarkStart w:id="2" w:name="_Toc7513444"/>
      <w:r w:rsidR="0002352B" w:rsidRPr="006643BE">
        <w:lastRenderedPageBreak/>
        <w:t xml:space="preserve">Аннотация </w:t>
      </w:r>
      <w:r w:rsidR="006643BE" w:rsidRPr="006643BE">
        <w:t>ГИА</w:t>
      </w:r>
      <w:bookmarkEnd w:id="1"/>
      <w:bookmarkEnd w:id="2"/>
    </w:p>
    <w:p w:rsidR="00047DF3" w:rsidRDefault="00047DF3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F694D" w:rsidRPr="009F694D" w:rsidRDefault="009F694D" w:rsidP="009F694D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>Общая трудоемкость дисциплины составляет 6 зачетных единиц, общий объем часов - 216 часов. Итоговая государственная аттестация специалистов включает защиту выпус</w:t>
      </w:r>
      <w:r w:rsidRPr="009F694D">
        <w:rPr>
          <w:rFonts w:eastAsia="Times New Roman"/>
          <w:sz w:val="24"/>
          <w:szCs w:val="24"/>
          <w:lang w:eastAsia="ru-RU"/>
        </w:rPr>
        <w:t>к</w:t>
      </w:r>
      <w:r w:rsidRPr="009F694D">
        <w:rPr>
          <w:rFonts w:eastAsia="Times New Roman"/>
          <w:sz w:val="24"/>
          <w:szCs w:val="24"/>
          <w:lang w:eastAsia="ru-RU"/>
        </w:rPr>
        <w:t>ной квалификационной работы, включая подготовку к процедуре защиты и процедуру з</w:t>
      </w:r>
      <w:r w:rsidRPr="009F694D">
        <w:rPr>
          <w:rFonts w:eastAsia="Times New Roman"/>
          <w:sz w:val="24"/>
          <w:szCs w:val="24"/>
          <w:lang w:eastAsia="ru-RU"/>
        </w:rPr>
        <w:t>а</w:t>
      </w:r>
      <w:r w:rsidRPr="009F694D">
        <w:rPr>
          <w:rFonts w:eastAsia="Times New Roman"/>
          <w:sz w:val="24"/>
          <w:szCs w:val="24"/>
          <w:lang w:eastAsia="ru-RU"/>
        </w:rPr>
        <w:t>щиты.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>Выпускная квалификационная работа — форма самостоятельной научно-исследовательской работы студента под руководством преподавателя, доцента или профе</w:t>
      </w:r>
      <w:r w:rsidRPr="009F694D">
        <w:rPr>
          <w:rFonts w:eastAsia="Times New Roman"/>
          <w:sz w:val="24"/>
          <w:szCs w:val="24"/>
          <w:lang w:eastAsia="ru-RU"/>
        </w:rPr>
        <w:t>с</w:t>
      </w:r>
      <w:r w:rsidRPr="009F694D">
        <w:rPr>
          <w:rFonts w:eastAsia="Times New Roman"/>
          <w:sz w:val="24"/>
          <w:szCs w:val="24"/>
          <w:lang w:eastAsia="ru-RU"/>
        </w:rPr>
        <w:t>сора. Выпускная квалификационная работа представляет собой целостное концептуальное научное исследование одной из общих или частных проблем фундаментальных или спец</w:t>
      </w:r>
      <w:r w:rsidRPr="009F694D">
        <w:rPr>
          <w:rFonts w:eastAsia="Times New Roman"/>
          <w:sz w:val="24"/>
          <w:szCs w:val="24"/>
          <w:lang w:eastAsia="ru-RU"/>
        </w:rPr>
        <w:t>и</w:t>
      </w:r>
      <w:r w:rsidRPr="009F694D">
        <w:rPr>
          <w:rFonts w:eastAsia="Times New Roman"/>
          <w:sz w:val="24"/>
          <w:szCs w:val="24"/>
          <w:lang w:eastAsia="ru-RU"/>
        </w:rPr>
        <w:t>альных дисциплин, содержащее всесторонний критический анализ научных источников по теме исследования и самостоятельное решение актуальной научной проблемы, опирающе</w:t>
      </w:r>
      <w:r w:rsidRPr="009F694D">
        <w:rPr>
          <w:rFonts w:eastAsia="Times New Roman"/>
          <w:sz w:val="24"/>
          <w:szCs w:val="24"/>
          <w:lang w:eastAsia="ru-RU"/>
        </w:rPr>
        <w:t>е</w:t>
      </w:r>
      <w:r w:rsidRPr="009F694D">
        <w:rPr>
          <w:rFonts w:eastAsia="Times New Roman"/>
          <w:sz w:val="24"/>
          <w:szCs w:val="24"/>
          <w:lang w:eastAsia="ru-RU"/>
        </w:rPr>
        <w:t xml:space="preserve">ся на совокупность методологических представлений и методических навыков в избранной области профессиональной деятельности. 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>Цель выпускной квалификационной работы - это формирование исследовательских умений и навыков у студентов, демонстрация студентами возможности осуществления научного исследования в отдельной конкретно взятой области языкознания, школы или направления, лингвистической концепции того или иного лингвиста. В ходе выполнения выпускной кв</w:t>
      </w:r>
      <w:r w:rsidRPr="009F694D">
        <w:rPr>
          <w:rFonts w:eastAsia="Times New Roman"/>
          <w:sz w:val="24"/>
          <w:szCs w:val="24"/>
          <w:lang w:eastAsia="ru-RU"/>
        </w:rPr>
        <w:t>а</w:t>
      </w:r>
      <w:r w:rsidRPr="009F694D">
        <w:rPr>
          <w:rFonts w:eastAsia="Times New Roman"/>
          <w:sz w:val="24"/>
          <w:szCs w:val="24"/>
          <w:lang w:eastAsia="ru-RU"/>
        </w:rPr>
        <w:t>лификационной работы студент обязан: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 xml:space="preserve"> • научиться пользоваться библиографическими указателями; 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>• изучить и осмыслить определенный круг литературных источников;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 xml:space="preserve"> • на основе анализа изученной литературы уметь составлять план исследования, включа</w:t>
      </w:r>
      <w:r w:rsidRPr="009F694D">
        <w:rPr>
          <w:rFonts w:eastAsia="Times New Roman"/>
          <w:sz w:val="24"/>
          <w:szCs w:val="24"/>
          <w:lang w:eastAsia="ru-RU"/>
        </w:rPr>
        <w:t>ю</w:t>
      </w:r>
      <w:r w:rsidRPr="009F694D">
        <w:rPr>
          <w:rFonts w:eastAsia="Times New Roman"/>
          <w:sz w:val="24"/>
          <w:szCs w:val="24"/>
          <w:lang w:eastAsia="ru-RU"/>
        </w:rPr>
        <w:t xml:space="preserve">щий введение, несколько глав, заключение; 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 xml:space="preserve">• уметь компактно и обстоятельно делать обзор литературы по избранной теме; 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 xml:space="preserve">• уметь логично и последовательно излагать материал; 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>• научиться формулировать выводы по каждой главе и обобщать исследование в заключ</w:t>
      </w:r>
      <w:r w:rsidRPr="009F694D">
        <w:rPr>
          <w:rFonts w:eastAsia="Times New Roman"/>
          <w:sz w:val="24"/>
          <w:szCs w:val="24"/>
          <w:lang w:eastAsia="ru-RU"/>
        </w:rPr>
        <w:t>е</w:t>
      </w:r>
      <w:r w:rsidRPr="009F694D">
        <w:rPr>
          <w:rFonts w:eastAsia="Times New Roman"/>
          <w:sz w:val="24"/>
          <w:szCs w:val="24"/>
          <w:lang w:eastAsia="ru-RU"/>
        </w:rPr>
        <w:t xml:space="preserve">нии; </w:t>
      </w:r>
    </w:p>
    <w:p w:rsidR="009F694D" w:rsidRPr="009F694D" w:rsidRDefault="009F694D" w:rsidP="009F694D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9F694D">
        <w:rPr>
          <w:rFonts w:eastAsia="Times New Roman"/>
          <w:sz w:val="24"/>
          <w:szCs w:val="24"/>
          <w:lang w:eastAsia="ru-RU"/>
        </w:rPr>
        <w:t xml:space="preserve">• научиться </w:t>
      </w:r>
      <w:proofErr w:type="gramStart"/>
      <w:r w:rsidRPr="009F694D">
        <w:rPr>
          <w:rFonts w:eastAsia="Times New Roman"/>
          <w:sz w:val="24"/>
          <w:szCs w:val="24"/>
          <w:lang w:eastAsia="ru-RU"/>
        </w:rPr>
        <w:t>грамотно</w:t>
      </w:r>
      <w:proofErr w:type="gramEnd"/>
      <w:r w:rsidRPr="009F694D">
        <w:rPr>
          <w:rFonts w:eastAsia="Times New Roman"/>
          <w:sz w:val="24"/>
          <w:szCs w:val="24"/>
          <w:lang w:eastAsia="ru-RU"/>
        </w:rPr>
        <w:t xml:space="preserve"> составлять библиографические списки литературы.</w:t>
      </w:r>
    </w:p>
    <w:p w:rsidR="006643BE" w:rsidRDefault="006643BE" w:rsidP="009F694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bookmarkStart w:id="3" w:name="_GoBack"/>
      <w:bookmarkEnd w:id="3"/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9F694D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Гуманитарно-прикладной институт ГПИ</institute>
    <profile xmlns="9fcb41ef-c49b-4112-a10d-653860e908af">Перевод и переводоведение</profile>
    <form_x002d_study xmlns="9fcb41ef-c49b-4112-a10d-653860e908af">очная</form_x002d_study>
  </documentManagement>
</p:properties>
</file>

<file path=customXml/itemProps1.xml><?xml version="1.0" encoding="utf-8"?>
<ds:datastoreItem xmlns:ds="http://schemas.openxmlformats.org/officeDocument/2006/customXml" ds:itemID="{6C00E9F8-9D8D-47B5-BC1D-57BEFF11C0A0}"/>
</file>

<file path=customXml/itemProps2.xml><?xml version="1.0" encoding="utf-8"?>
<ds:datastoreItem xmlns:ds="http://schemas.openxmlformats.org/officeDocument/2006/customXml" ds:itemID="{E9EAA56D-76CA-42D6-B6C7-CC34510FDAF3}"/>
</file>

<file path=customXml/itemProps3.xml><?xml version="1.0" encoding="utf-8"?>
<ds:datastoreItem xmlns:ds="http://schemas.openxmlformats.org/officeDocument/2006/customXml" ds:itemID="{DA6429B9-AA77-41F9-BA7E-D302C6E63766}"/>
</file>

<file path=customXml/itemProps4.xml><?xml version="1.0" encoding="utf-8"?>
<ds:datastoreItem xmlns:ds="http://schemas.openxmlformats.org/officeDocument/2006/customXml" ds:itemID="{65C8664D-64BE-43D6-88D0-224ACE8B3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1895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lingva</cp:lastModifiedBy>
  <cp:revision>4</cp:revision>
  <cp:lastPrinted>2017-07-13T09:51:00Z</cp:lastPrinted>
  <dcterms:created xsi:type="dcterms:W3CDTF">2019-04-26T08:18:00Z</dcterms:created>
  <dcterms:modified xsi:type="dcterms:W3CDTF">2019-04-30T07:44:00Z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65900</vt:r8>
  </property>
</Properties>
</file>